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</w:t>
      </w:r>
      <w:r>
        <w:rPr>
          <w:rFonts w:ascii="黑体" w:hAnsi="黑体" w:eastAsia="黑体" w:cs="宋体"/>
          <w:kern w:val="0"/>
          <w:szCs w:val="32"/>
        </w:rPr>
        <w:t>2</w:t>
      </w:r>
      <w:r>
        <w:rPr>
          <w:rFonts w:hint="eastAsia" w:ascii="黑体" w:hAnsi="黑体" w:eastAsia="黑体" w:cs="宋体"/>
          <w:kern w:val="0"/>
          <w:szCs w:val="32"/>
        </w:rPr>
        <w:t>：</w:t>
      </w:r>
    </w:p>
    <w:p>
      <w:pPr>
        <w:pStyle w:val="2"/>
        <w:spacing w:line="560" w:lineRule="exact"/>
      </w:pPr>
    </w:p>
    <w:p>
      <w:pPr>
        <w:snapToGrid w:val="0"/>
        <w:spacing w:line="560" w:lineRule="exact"/>
        <w:jc w:val="center"/>
        <w:rPr>
          <w:rFonts w:ascii="黑体" w:eastAsia="黑体"/>
          <w:b/>
          <w:bCs/>
          <w:sz w:val="44"/>
        </w:rPr>
      </w:pPr>
    </w:p>
    <w:p>
      <w:pPr>
        <w:snapToGrid w:val="0"/>
        <w:spacing w:line="560" w:lineRule="exact"/>
        <w:jc w:val="center"/>
        <w:rPr>
          <w:rFonts w:ascii="黑体" w:eastAsia="黑体"/>
          <w:b/>
          <w:bCs/>
          <w:sz w:val="44"/>
        </w:rPr>
      </w:pPr>
    </w:p>
    <w:p>
      <w:pPr>
        <w:snapToGrid w:val="0"/>
        <w:spacing w:line="560" w:lineRule="exact"/>
        <w:jc w:val="center"/>
        <w:rPr>
          <w:rFonts w:ascii="黑体" w:eastAsia="黑体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</w:rPr>
        <w:t>第三届中国工</w:t>
      </w:r>
      <w:bookmarkStart w:id="17" w:name="_GoBack"/>
      <w:bookmarkEnd w:id="17"/>
      <w:r>
        <w:rPr>
          <w:rFonts w:hint="eastAsia" w:ascii="方正小标宋简体" w:hAnsi="方正小标宋简体" w:eastAsia="方正小标宋简体" w:cs="方正小标宋简体"/>
          <w:b/>
          <w:bCs/>
          <w:sz w:val="44"/>
        </w:rPr>
        <w:t>业互联网大赛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60" w:lineRule="exact"/>
        <w:ind w:right="-139" w:rightChars="-4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</w:rPr>
        <w:t>“工业互联网+安全生产”专业赛参赛申请书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</w:rPr>
        <w:t>（模板）</w:t>
      </w:r>
    </w:p>
    <w:p>
      <w:pPr>
        <w:spacing w:line="560" w:lineRule="exact"/>
        <w:jc w:val="center"/>
        <w:rPr>
          <w:rFonts w:ascii="仿宋_GB2312" w:eastAsia="仿宋_GB2312"/>
          <w:bCs/>
          <w:sz w:val="36"/>
        </w:rPr>
      </w:pPr>
    </w:p>
    <w:p>
      <w:pPr>
        <w:spacing w:line="560" w:lineRule="exact"/>
        <w:jc w:val="center"/>
        <w:rPr>
          <w:rFonts w:ascii="仿宋_GB2312" w:eastAsia="仿宋_GB2312"/>
          <w:bCs/>
          <w:sz w:val="36"/>
        </w:rPr>
      </w:pPr>
    </w:p>
    <w:tbl>
      <w:tblPr>
        <w:tblStyle w:val="7"/>
        <w:tblW w:w="8929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657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 w:line="560" w:lineRule="exact"/>
              <w:ind w:firstLine="592" w:firstLineChars="200"/>
              <w:textAlignment w:val="bottom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解决方案：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 w:line="560" w:lineRule="exact"/>
              <w:textAlignment w:val="bottom"/>
              <w:rPr>
                <w:rFonts w:ascii="黑体" w:eastAsia="黑体"/>
                <w:sz w:val="30"/>
                <w:szCs w:val="30"/>
              </w:rPr>
            </w:pPr>
            <w:bookmarkStart w:id="0" w:name="zxmc"/>
            <w:bookmarkEnd w:id="0"/>
            <w:bookmarkStart w:id="1" w:name="simple_zxmc_a_02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 w:line="560" w:lineRule="exact"/>
              <w:ind w:firstLine="592" w:firstLineChars="200"/>
              <w:textAlignment w:val="bottom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参赛团队：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 w:line="560" w:lineRule="exact"/>
              <w:textAlignment w:val="bottom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 w:line="560" w:lineRule="exact"/>
              <w:ind w:firstLine="592" w:firstLineChars="200"/>
              <w:textAlignment w:val="bottom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参赛方向：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 w:line="560" w:lineRule="exact"/>
              <w:textAlignment w:val="bottom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 w:line="560" w:lineRule="exact"/>
              <w:ind w:firstLine="888" w:firstLineChars="300"/>
              <w:textAlignment w:val="bottom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联系人：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 w:line="560" w:lineRule="exact"/>
              <w:textAlignment w:val="bottom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160" w:line="560" w:lineRule="exact"/>
              <w:ind w:firstLine="592" w:firstLineChars="200"/>
              <w:textAlignment w:val="bottom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联系方式：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 w:line="560" w:lineRule="exact"/>
              <w:textAlignment w:val="bottom"/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szCs w:val="32"/>
        </w:rPr>
      </w:pPr>
    </w:p>
    <w:p>
      <w:pPr>
        <w:adjustRightInd w:val="0"/>
        <w:snapToGrid w:val="0"/>
        <w:spacing w:line="560" w:lineRule="exact"/>
        <w:rPr>
          <w:rFonts w:ascii="黑体" w:hAnsi="宋体" w:eastAsia="黑体"/>
          <w:sz w:val="30"/>
          <w:szCs w:val="30"/>
        </w:rPr>
      </w:pPr>
      <w:bookmarkStart w:id="2" w:name="img_00001"/>
      <w:bookmarkEnd w:id="2"/>
      <w:bookmarkStart w:id="3" w:name="barcode"/>
      <w:bookmarkEnd w:id="3"/>
    </w:p>
    <w:p>
      <w:pPr>
        <w:pStyle w:val="2"/>
        <w:spacing w:line="560" w:lineRule="exact"/>
        <w:jc w:val="center"/>
        <w:rPr>
          <w:b/>
          <w:bCs/>
        </w:rPr>
        <w:sectPr>
          <w:footerReference r:id="rId3" w:type="default"/>
          <w:pgSz w:w="11906" w:h="16838"/>
          <w:pgMar w:top="2098" w:right="1474" w:bottom="1984" w:left="1588" w:header="851" w:footer="1400" w:gutter="0"/>
          <w:cols w:space="425" w:num="1"/>
          <w:docGrid w:type="linesAndChars" w:linePitch="579" w:charSpace="-849"/>
        </w:sectPr>
      </w:pPr>
      <w:r>
        <w:rPr>
          <w:rFonts w:hint="eastAsia"/>
          <w:b/>
          <w:bCs/>
        </w:rPr>
        <w:t xml:space="preserve">二〇二一年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月</w:t>
      </w:r>
    </w:p>
    <w:p>
      <w:pPr>
        <w:pStyle w:val="2"/>
        <w:spacing w:line="560" w:lineRule="exact"/>
        <w:jc w:val="center"/>
      </w:pPr>
      <w:r>
        <w:rPr>
          <w:rFonts w:ascii="黑体" w:hAnsi="黑体" w:eastAsia="黑体"/>
          <w:sz w:val="36"/>
        </w:rPr>
        <w:t>填写说明</w:t>
      </w:r>
    </w:p>
    <w:p>
      <w:pPr>
        <w:spacing w:line="560" w:lineRule="exact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一、</w:t>
      </w:r>
      <w:r>
        <w:rPr>
          <w:rFonts w:ascii="仿宋" w:hAnsi="仿宋" w:eastAsia="仿宋"/>
          <w:szCs w:val="32"/>
        </w:rPr>
        <w:t>请</w:t>
      </w:r>
      <w:r>
        <w:rPr>
          <w:rFonts w:hint="eastAsia" w:ascii="仿宋" w:hAnsi="仿宋" w:eastAsia="仿宋"/>
          <w:szCs w:val="32"/>
        </w:rPr>
        <w:t>参赛团队</w:t>
      </w:r>
      <w:r>
        <w:rPr>
          <w:rFonts w:ascii="仿宋" w:hAnsi="仿宋" w:eastAsia="仿宋"/>
          <w:szCs w:val="32"/>
        </w:rPr>
        <w:t>按照</w:t>
      </w:r>
      <w:r>
        <w:rPr>
          <w:rFonts w:hint="eastAsia" w:ascii="仿宋" w:hAnsi="仿宋" w:eastAsia="仿宋"/>
          <w:szCs w:val="32"/>
        </w:rPr>
        <w:t>模板</w:t>
      </w:r>
      <w:r>
        <w:rPr>
          <w:rFonts w:ascii="仿宋" w:hAnsi="仿宋" w:eastAsia="仿宋"/>
          <w:szCs w:val="32"/>
        </w:rPr>
        <w:t>要求填写各项</w:t>
      </w:r>
      <w:r>
        <w:rPr>
          <w:rFonts w:hint="eastAsia" w:ascii="仿宋" w:hAnsi="仿宋" w:eastAsia="仿宋"/>
          <w:szCs w:val="32"/>
        </w:rPr>
        <w:t>内容。</w:t>
      </w:r>
    </w:p>
    <w:p>
      <w:pPr>
        <w:spacing w:line="560" w:lineRule="exact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</w:t>
      </w:r>
      <w:r>
        <w:rPr>
          <w:rFonts w:ascii="仿宋" w:hAnsi="仿宋" w:eastAsia="仿宋"/>
          <w:szCs w:val="32"/>
        </w:rPr>
        <w:t>、</w:t>
      </w:r>
      <w:r>
        <w:rPr>
          <w:rFonts w:hint="eastAsia" w:ascii="仿宋" w:hAnsi="仿宋" w:eastAsia="仿宋"/>
          <w:szCs w:val="32"/>
        </w:rPr>
        <w:t>参赛解决方案可由</w:t>
      </w:r>
      <w:r>
        <w:rPr>
          <w:rFonts w:ascii="仿宋" w:hAnsi="仿宋" w:eastAsia="仿宋"/>
          <w:szCs w:val="32"/>
        </w:rPr>
        <w:t>一家单位提出，也可以由多家单位联合</w:t>
      </w:r>
      <w:r>
        <w:rPr>
          <w:rFonts w:hint="eastAsia" w:ascii="仿宋" w:hAnsi="仿宋" w:eastAsia="仿宋"/>
          <w:szCs w:val="32"/>
        </w:rPr>
        <w:t>提出，由</w:t>
      </w:r>
      <w:r>
        <w:rPr>
          <w:rFonts w:hint="eastAsia" w:ascii="黑体" w:hAnsi="黑体" w:eastAsia="黑体"/>
          <w:szCs w:val="32"/>
        </w:rPr>
        <w:t>牵头单位</w:t>
      </w:r>
      <w:r>
        <w:rPr>
          <w:rFonts w:hint="eastAsia" w:ascii="仿宋" w:hAnsi="仿宋" w:eastAsia="仿宋"/>
          <w:szCs w:val="32"/>
        </w:rPr>
        <w:t>组织编写申请书。</w:t>
      </w:r>
    </w:p>
    <w:p>
      <w:pPr>
        <w:spacing w:line="560" w:lineRule="exact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</w:t>
      </w:r>
      <w:r>
        <w:rPr>
          <w:rFonts w:ascii="仿宋" w:hAnsi="仿宋" w:eastAsia="仿宋"/>
          <w:szCs w:val="32"/>
        </w:rPr>
        <w:t>、</w:t>
      </w:r>
      <w:r>
        <w:rPr>
          <w:rFonts w:hint="eastAsia" w:ascii="仿宋" w:hAnsi="仿宋" w:eastAsia="仿宋"/>
          <w:szCs w:val="32"/>
        </w:rPr>
        <w:t>统一社会信用</w:t>
      </w:r>
      <w:r>
        <w:rPr>
          <w:rFonts w:ascii="仿宋" w:hAnsi="仿宋" w:eastAsia="仿宋"/>
          <w:szCs w:val="32"/>
        </w:rPr>
        <w:t>代码是指</w:t>
      </w:r>
      <w:r>
        <w:rPr>
          <w:rFonts w:hint="eastAsia" w:ascii="仿宋" w:hAnsi="仿宋" w:eastAsia="仿宋"/>
          <w:szCs w:val="32"/>
        </w:rPr>
        <w:t>单位三证合一营业执照上的</w:t>
      </w:r>
      <w:r>
        <w:rPr>
          <w:rFonts w:ascii="仿宋" w:hAnsi="仿宋" w:eastAsia="仿宋"/>
          <w:szCs w:val="32"/>
        </w:rPr>
        <w:t>标识代码</w:t>
      </w:r>
      <w:r>
        <w:rPr>
          <w:rFonts w:hint="eastAsia" w:ascii="仿宋" w:hAnsi="仿宋" w:eastAsia="仿宋"/>
          <w:szCs w:val="32"/>
        </w:rPr>
        <w:t>，它是由</w:t>
      </w:r>
      <w:r>
        <w:rPr>
          <w:rFonts w:ascii="仿宋" w:hAnsi="仿宋" w:eastAsia="仿宋"/>
          <w:szCs w:val="32"/>
        </w:rPr>
        <w:t>工商行政管理部门核发</w:t>
      </w:r>
      <w:r>
        <w:rPr>
          <w:rFonts w:hint="eastAsia" w:ascii="仿宋" w:hAnsi="仿宋" w:eastAsia="仿宋"/>
          <w:szCs w:val="32"/>
        </w:rPr>
        <w:t>的</w:t>
      </w:r>
      <w:r>
        <w:rPr>
          <w:rFonts w:ascii="仿宋" w:hAnsi="仿宋" w:eastAsia="仿宋"/>
          <w:szCs w:val="32"/>
        </w:rPr>
        <w:t>法人和其他组织</w:t>
      </w:r>
      <w:r>
        <w:rPr>
          <w:rFonts w:hint="eastAsia" w:ascii="仿宋" w:hAnsi="仿宋" w:eastAsia="仿宋"/>
          <w:szCs w:val="32"/>
        </w:rPr>
        <w:t>的唯一</w:t>
      </w:r>
      <w:r>
        <w:rPr>
          <w:rFonts w:ascii="仿宋" w:hAnsi="仿宋" w:eastAsia="仿宋"/>
          <w:szCs w:val="32"/>
        </w:rPr>
        <w:t>标识代码</w:t>
      </w:r>
      <w:r>
        <w:rPr>
          <w:rFonts w:hint="eastAsia" w:ascii="仿宋" w:hAnsi="仿宋" w:eastAsia="仿宋"/>
          <w:szCs w:val="32"/>
        </w:rPr>
        <w:t>。</w:t>
      </w:r>
    </w:p>
    <w:p>
      <w:pPr>
        <w:widowControl/>
        <w:spacing w:line="560" w:lineRule="exact"/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四</w:t>
      </w:r>
      <w:r>
        <w:rPr>
          <w:rFonts w:ascii="仿宋" w:hAnsi="仿宋" w:eastAsia="仿宋"/>
          <w:szCs w:val="32"/>
        </w:rPr>
        <w:t>、</w:t>
      </w:r>
      <w:r>
        <w:rPr>
          <w:rFonts w:hint="eastAsia" w:ascii="仿宋" w:hAnsi="仿宋" w:eastAsia="仿宋"/>
          <w:szCs w:val="32"/>
        </w:rPr>
        <w:t>基本信息表填写内容后控制在</w:t>
      </w:r>
      <w:r>
        <w:rPr>
          <w:rFonts w:hint="eastAsia" w:ascii="黑体" w:hAnsi="黑体" w:eastAsia="黑体"/>
          <w:szCs w:val="32"/>
        </w:rPr>
        <w:t>正反一页纸之内</w:t>
      </w:r>
      <w:r>
        <w:rPr>
          <w:rFonts w:hint="eastAsia" w:ascii="仿宋" w:hAnsi="仿宋" w:eastAsia="仿宋"/>
          <w:szCs w:val="32"/>
        </w:rPr>
        <w:t>。</w:t>
      </w:r>
    </w:p>
    <w:p>
      <w:pPr>
        <w:widowControl/>
        <w:spacing w:line="560" w:lineRule="exact"/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五</w:t>
      </w:r>
      <w:r>
        <w:rPr>
          <w:rFonts w:ascii="仿宋" w:hAnsi="仿宋" w:eastAsia="仿宋"/>
          <w:szCs w:val="32"/>
        </w:rPr>
        <w:t>、</w:t>
      </w:r>
      <w:r>
        <w:rPr>
          <w:rFonts w:hint="eastAsia" w:ascii="仿宋" w:hAnsi="仿宋" w:eastAsia="仿宋"/>
          <w:szCs w:val="32"/>
        </w:rPr>
        <w:t>申请书编写人员应客观、真实地填报解决方案材料，尊重他人知识产权，遵守国家有关知识产权法规。在解决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</w:t>
      </w:r>
      <w:r>
        <w:rPr>
          <w:rFonts w:hint="eastAsia" w:ascii="黑体" w:hAnsi="黑体" w:eastAsia="黑体"/>
          <w:szCs w:val="32"/>
        </w:rPr>
        <w:t>一经查实，将立即取消参赛资格</w:t>
      </w:r>
      <w:r>
        <w:rPr>
          <w:rFonts w:hint="eastAsia" w:ascii="仿宋" w:hAnsi="仿宋" w:eastAsia="仿宋"/>
          <w:szCs w:val="32"/>
        </w:rPr>
        <w:t>。</w:t>
      </w:r>
    </w:p>
    <w:p>
      <w:pPr>
        <w:widowControl/>
        <w:spacing w:line="560" w:lineRule="exact"/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六、在解决方案评审期间，组委会可能根据评委会的建议，要求参赛团队补充提交其他必要说明材料。</w:t>
      </w:r>
    </w:p>
    <w:p>
      <w:pPr>
        <w:widowControl/>
        <w:spacing w:line="560" w:lineRule="exact"/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七、参赛申请书</w:t>
      </w:r>
      <w:r>
        <w:rPr>
          <w:rFonts w:hint="eastAsia" w:ascii="黑体" w:hAnsi="黑体" w:eastAsia="黑体"/>
          <w:szCs w:val="32"/>
        </w:rPr>
        <w:t>封面页</w:t>
      </w:r>
      <w:r>
        <w:rPr>
          <w:rFonts w:hint="eastAsia" w:ascii="仿宋" w:hAnsi="仿宋" w:eastAsia="仿宋"/>
          <w:szCs w:val="32"/>
        </w:rPr>
        <w:t>、</w:t>
      </w:r>
      <w:r>
        <w:rPr>
          <w:rFonts w:hint="eastAsia" w:ascii="黑体" w:hAnsi="黑体" w:eastAsia="黑体"/>
          <w:szCs w:val="32"/>
        </w:rPr>
        <w:t>真实性承诺页</w:t>
      </w:r>
      <w:r>
        <w:rPr>
          <w:rFonts w:hint="eastAsia" w:ascii="仿宋" w:hAnsi="仿宋" w:eastAsia="仿宋"/>
          <w:szCs w:val="32"/>
        </w:rPr>
        <w:t>需要参赛牵头单位</w:t>
      </w:r>
      <w:r>
        <w:rPr>
          <w:rFonts w:hint="eastAsia" w:ascii="黑体" w:hAnsi="黑体" w:eastAsia="黑体"/>
          <w:szCs w:val="32"/>
        </w:rPr>
        <w:t>加盖公章</w:t>
      </w:r>
      <w:r>
        <w:rPr>
          <w:rFonts w:hint="eastAsia" w:ascii="仿宋" w:hAnsi="仿宋" w:eastAsia="仿宋"/>
          <w:szCs w:val="32"/>
        </w:rPr>
        <w:t>。</w:t>
      </w:r>
    </w:p>
    <w:p>
      <w:pPr>
        <w:widowControl/>
        <w:spacing w:line="560" w:lineRule="exact"/>
        <w:jc w:val="center"/>
        <w:outlineLvl w:val="0"/>
        <w:rPr>
          <w:rFonts w:ascii="黑体" w:hAnsi="黑体" w:eastAsia="黑体"/>
          <w:szCs w:val="32"/>
        </w:rPr>
      </w:pPr>
      <w:r>
        <w:rPr>
          <w:rFonts w:ascii="黑体" w:eastAsia="黑体"/>
        </w:rPr>
        <w:br w:type="page"/>
      </w:r>
      <w:r>
        <w:rPr>
          <w:rFonts w:hint="eastAsia" w:ascii="黑体" w:eastAsia="黑体"/>
          <w:sz w:val="36"/>
          <w:szCs w:val="28"/>
        </w:rPr>
        <w:t>解决方案</w:t>
      </w:r>
      <w:r>
        <w:rPr>
          <w:rFonts w:hint="eastAsia" w:ascii="黑体" w:hAnsi="黑体" w:eastAsia="黑体"/>
          <w:sz w:val="36"/>
          <w:szCs w:val="36"/>
        </w:rPr>
        <w:t>基本信息表</w:t>
      </w:r>
    </w:p>
    <w:tbl>
      <w:tblPr>
        <w:tblStyle w:val="7"/>
        <w:tblW w:w="8999" w:type="dxa"/>
        <w:tblInd w:w="-2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559"/>
        <w:gridCol w:w="1862"/>
        <w:gridCol w:w="1559"/>
        <w:gridCol w:w="1276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参赛（牵头）单位信息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单位名称</w:t>
            </w:r>
          </w:p>
        </w:tc>
        <w:tc>
          <w:tcPr>
            <w:tcW w:w="342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单位性质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通讯地址</w:t>
            </w:r>
          </w:p>
        </w:tc>
        <w:tc>
          <w:tcPr>
            <w:tcW w:w="342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邮政编码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所在地区</w:t>
            </w:r>
          </w:p>
        </w:tc>
        <w:tc>
          <w:tcPr>
            <w:tcW w:w="568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>省（市/自治区）</w:t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>市（区）</w:t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>区（县）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统一社会信用代码</w:t>
            </w:r>
          </w:p>
        </w:tc>
        <w:tc>
          <w:tcPr>
            <w:tcW w:w="568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法定代表人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成立时间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联系电话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注册资本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员工总数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研发员工数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联系人信息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姓名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职务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联系电话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电子邮箱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widowControl/>
              <w:spacing w:before="289" w:beforeLines="50" w:after="289" w:afterLines="50"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参赛方向</w:t>
            </w:r>
          </w:p>
          <w:p>
            <w:pPr>
              <w:widowControl/>
              <w:spacing w:before="289" w:beforeLines="50" w:after="289" w:afterLines="50"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（单选）</w:t>
            </w:r>
          </w:p>
        </w:tc>
        <w:tc>
          <w:tcPr>
            <w:tcW w:w="7248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before="289" w:beforeLines="50" w:after="289" w:afterLines="50" w:line="560" w:lineRule="exact"/>
              <w:jc w:val="left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□“工业互联网+安全生产”超前预警能力建设的解决方案</w:t>
            </w:r>
          </w:p>
          <w:p>
            <w:pPr>
              <w:widowControl/>
              <w:spacing w:before="289" w:beforeLines="50" w:after="289" w:afterLines="50"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□“工业互联网+安全生产”快速感知能力体系建设的关键场景应用解决方案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2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解决方案简述</w:t>
            </w:r>
          </w:p>
        </w:tc>
        <w:tc>
          <w:tcPr>
            <w:tcW w:w="7248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</w:pPr>
      <w:r>
        <w:br w:type="page"/>
      </w:r>
    </w:p>
    <w:tbl>
      <w:tblPr>
        <w:tblStyle w:val="7"/>
        <w:tblW w:w="8999" w:type="dxa"/>
        <w:tblInd w:w="-2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72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widowControl/>
              <w:spacing w:before="289" w:beforeLines="50" w:after="289" w:afterLines="50"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核心竞争力</w:t>
            </w:r>
          </w:p>
          <w:p>
            <w:pPr>
              <w:widowControl/>
              <w:spacing w:before="289" w:beforeLines="50" w:after="289" w:afterLines="50"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分析</w:t>
            </w:r>
          </w:p>
        </w:tc>
        <w:tc>
          <w:tcPr>
            <w:tcW w:w="7248" w:type="dxa"/>
            <w:shd w:val="clear" w:color="auto" w:fill="auto"/>
            <w:noWrap/>
            <w:vAlign w:val="center"/>
          </w:tcPr>
          <w:p>
            <w:pPr>
              <w:spacing w:before="289" w:beforeLines="50" w:after="289" w:afterLines="50"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widowControl/>
              <w:spacing w:before="289" w:beforeLines="50" w:after="289" w:afterLines="50"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应用行业</w:t>
            </w:r>
          </w:p>
          <w:p>
            <w:pPr>
              <w:widowControl/>
              <w:spacing w:before="289" w:beforeLines="50" w:after="289" w:afterLines="50"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（多选）</w:t>
            </w:r>
          </w:p>
        </w:tc>
        <w:tc>
          <w:tcPr>
            <w:tcW w:w="7248" w:type="dxa"/>
            <w:shd w:val="clear" w:color="auto" w:fill="auto"/>
            <w:noWrap/>
            <w:vAlign w:val="center"/>
          </w:tcPr>
          <w:p>
            <w:pPr>
              <w:spacing w:before="289" w:beforeLines="50" w:after="289" w:afterLines="50" w:line="560" w:lineRule="exact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 xml:space="preserve">□钢铁 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 xml:space="preserve">□有色 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 xml:space="preserve">□石油   □石化 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>□矿山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 xml:space="preserve">  □民爆</w:t>
            </w:r>
          </w:p>
          <w:p>
            <w:pPr>
              <w:spacing w:before="289" w:beforeLines="50" w:after="289" w:afterLines="50" w:line="560" w:lineRule="exact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sz w:val="24"/>
              </w:rPr>
              <w:t>□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 xml:space="preserve">家电 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 xml:space="preserve">□家具 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 xml:space="preserve">□陶瓷   □金属加工 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>□装备制造业</w:t>
            </w:r>
          </w:p>
          <w:p>
            <w:pPr>
              <w:spacing w:before="289" w:beforeLines="50" w:after="289" w:afterLines="50" w:line="560" w:lineRule="exact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 xml:space="preserve">□电子 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 xml:space="preserve">□电力、热力和燃气   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>□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 xml:space="preserve">化工    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>□烟花爆竹</w:t>
            </w:r>
          </w:p>
          <w:p>
            <w:pPr>
              <w:spacing w:before="289" w:beforeLines="50" w:after="289" w:afterLines="50" w:line="560" w:lineRule="exact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 xml:space="preserve">□建材 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 xml:space="preserve">□服务业 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>□农业</w:t>
            </w:r>
          </w:p>
          <w:p>
            <w:pPr>
              <w:spacing w:before="289" w:beforeLines="50" w:after="289" w:afterLines="50" w:line="560" w:lineRule="exact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□其他</w:t>
            </w:r>
            <w:r>
              <w:rPr>
                <w:rFonts w:hint="eastAsia" w:ascii="黑体" w:hAnsi="黑体" w:eastAsia="黑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widowControl/>
              <w:spacing w:before="289" w:beforeLines="50" w:after="289" w:afterLines="50"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应用发展阶段</w:t>
            </w:r>
          </w:p>
          <w:p>
            <w:pPr>
              <w:widowControl/>
              <w:spacing w:before="289" w:beforeLines="50" w:after="289" w:afterLines="50"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（单选）</w:t>
            </w:r>
          </w:p>
        </w:tc>
        <w:tc>
          <w:tcPr>
            <w:tcW w:w="7248" w:type="dxa"/>
            <w:shd w:val="clear" w:color="auto" w:fill="auto"/>
            <w:noWrap/>
            <w:vAlign w:val="center"/>
          </w:tcPr>
          <w:p>
            <w:pPr>
              <w:spacing w:before="289" w:beforeLines="50" w:after="289" w:afterLines="50" w:line="560" w:lineRule="exact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 xml:space="preserve">□方案设计阶段 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 xml:space="preserve">     </w:t>
            </w:r>
          </w:p>
          <w:p>
            <w:pPr>
              <w:spacing w:before="289" w:beforeLines="50" w:after="289" w:afterLines="50" w:line="560" w:lineRule="exact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□应用示范阶段</w:t>
            </w:r>
          </w:p>
          <w:p>
            <w:pPr>
              <w:spacing w:before="289" w:beforeLines="50" w:after="289" w:afterLines="50" w:line="560" w:lineRule="exact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 xml:space="preserve">□商业落地阶段 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 xml:space="preserve">     </w:t>
            </w:r>
          </w:p>
          <w:p>
            <w:pPr>
              <w:spacing w:before="289" w:beforeLines="50" w:after="289" w:afterLines="50"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□规模复制阶段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widowControl/>
              <w:spacing w:before="289" w:beforeLines="50" w:after="289" w:afterLines="50" w:line="560" w:lineRule="exact"/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应用效果/预期效果</w:t>
            </w:r>
          </w:p>
        </w:tc>
        <w:tc>
          <w:tcPr>
            <w:tcW w:w="7248" w:type="dxa"/>
            <w:shd w:val="clear" w:color="auto" w:fill="auto"/>
            <w:noWrap/>
            <w:vAlign w:val="center"/>
          </w:tcPr>
          <w:p>
            <w:pPr>
              <w:widowControl/>
              <w:spacing w:before="289" w:beforeLines="50" w:after="289" w:afterLines="50" w:line="56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pStyle w:val="2"/>
        <w:spacing w:line="560" w:lineRule="exact"/>
        <w:sectPr>
          <w:pgSz w:w="11906" w:h="16838"/>
          <w:pgMar w:top="2098" w:right="1474" w:bottom="1984" w:left="1588" w:header="851" w:footer="1400" w:gutter="0"/>
          <w:cols w:space="425" w:num="1"/>
          <w:docGrid w:type="linesAndChars" w:linePitch="579" w:charSpace="-849"/>
        </w:sect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32" w:firstLineChars="200"/>
        <w:outlineLvl w:val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解决方案背景和需求介绍</w:t>
      </w:r>
    </w:p>
    <w:p>
      <w:pPr>
        <w:numPr>
          <w:ilvl w:val="0"/>
          <w:numId w:val="2"/>
        </w:numPr>
        <w:spacing w:line="560" w:lineRule="exact"/>
        <w:ind w:firstLine="632" w:firstLineChars="200"/>
        <w:outlineLvl w:val="1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阐述该解决方案的背景及必要性，分析市场需求并剖析可解决的发展痛点等。</w:t>
      </w:r>
    </w:p>
    <w:p>
      <w:pPr>
        <w:numPr>
          <w:ilvl w:val="0"/>
          <w:numId w:val="3"/>
        </w:numPr>
        <w:spacing w:line="560" w:lineRule="exact"/>
        <w:ind w:firstLine="632" w:firstLineChars="200"/>
        <w:outlineLvl w:val="1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方案主要解决哪些问题，应用在哪些环节（研发、生产、运维、质量、供应链等）。</w:t>
      </w:r>
    </w:p>
    <w:p>
      <w:pPr>
        <w:numPr>
          <w:ilvl w:val="0"/>
          <w:numId w:val="4"/>
        </w:numPr>
        <w:adjustRightInd w:val="0"/>
        <w:snapToGrid w:val="0"/>
        <w:spacing w:line="560" w:lineRule="exact"/>
        <w:ind w:firstLine="632" w:firstLineChars="200"/>
        <w:outlineLvl w:val="0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解决方案内容</w:t>
      </w:r>
    </w:p>
    <w:p>
      <w:pPr>
        <w:widowControl/>
        <w:numPr>
          <w:ilvl w:val="0"/>
          <w:numId w:val="5"/>
        </w:numPr>
        <w:spacing w:line="560" w:lineRule="exact"/>
        <w:ind w:firstLine="632" w:firstLineChars="200"/>
        <w:jc w:val="left"/>
        <w:outlineLvl w:val="1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kern w:val="0"/>
          <w:szCs w:val="32"/>
          <w:lang w:val="zh-CN" w:bidi="th-TH"/>
        </w:rPr>
        <w:t>技术和实施方案</w:t>
      </w:r>
    </w:p>
    <w:p>
      <w:pPr>
        <w:widowControl/>
        <w:spacing w:line="560" w:lineRule="exact"/>
        <w:ind w:firstLine="632" w:firstLineChars="200"/>
        <w:jc w:val="left"/>
      </w:pPr>
      <w:r>
        <w:rPr>
          <w:rFonts w:hint="eastAsia" w:ascii="仿宋" w:hAnsi="仿宋" w:eastAsia="仿宋"/>
          <w:szCs w:val="32"/>
        </w:rPr>
        <w:t>详细介绍技术方案（解决方案的技术架构、关键技术、建设内容、主要功能等内容）以及实施方案（包括但不限于系统软硬件部署、数据开发利用、要素资源保障、合作模式、投资回报周期等方面内容）。</w:t>
      </w:r>
    </w:p>
    <w:p>
      <w:pPr>
        <w:widowControl/>
        <w:numPr>
          <w:ilvl w:val="0"/>
          <w:numId w:val="6"/>
        </w:numPr>
        <w:spacing w:line="560" w:lineRule="exact"/>
        <w:ind w:firstLine="632" w:firstLineChars="200"/>
        <w:jc w:val="left"/>
        <w:outlineLvl w:val="1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kern w:val="0"/>
          <w:szCs w:val="32"/>
          <w:lang w:val="zh-CN" w:bidi="th-TH"/>
        </w:rPr>
        <w:t>核心优势</w:t>
      </w:r>
    </w:p>
    <w:p>
      <w:pPr>
        <w:widowControl/>
        <w:spacing w:line="560" w:lineRule="exact"/>
        <w:ind w:firstLine="632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包括但不限于：</w:t>
      </w:r>
    </w:p>
    <w:p>
      <w:pPr>
        <w:widowControl/>
        <w:numPr>
          <w:ilvl w:val="0"/>
          <w:numId w:val="7"/>
        </w:numPr>
        <w:spacing w:line="560" w:lineRule="exact"/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创新优势：描述解决</w:t>
      </w:r>
      <w:r>
        <w:rPr>
          <w:rFonts w:ascii="仿宋" w:hAnsi="仿宋" w:eastAsia="仿宋"/>
          <w:szCs w:val="32"/>
        </w:rPr>
        <w:t>方案</w:t>
      </w:r>
      <w:r>
        <w:rPr>
          <w:rFonts w:hint="eastAsia" w:ascii="仿宋" w:hAnsi="仿宋" w:eastAsia="仿宋"/>
          <w:szCs w:val="32"/>
        </w:rPr>
        <w:t>的自主创新能力</w:t>
      </w:r>
      <w:r>
        <w:rPr>
          <w:rFonts w:ascii="仿宋" w:hAnsi="仿宋" w:eastAsia="仿宋"/>
          <w:szCs w:val="32"/>
        </w:rPr>
        <w:t>，包括</w:t>
      </w:r>
      <w:r>
        <w:rPr>
          <w:rFonts w:hint="eastAsia" w:ascii="仿宋" w:hAnsi="仿宋" w:eastAsia="仿宋"/>
          <w:szCs w:val="32"/>
        </w:rPr>
        <w:t>但</w:t>
      </w:r>
      <w:r>
        <w:rPr>
          <w:rFonts w:ascii="仿宋" w:hAnsi="仿宋" w:eastAsia="仿宋"/>
          <w:szCs w:val="32"/>
        </w:rPr>
        <w:t>不限于</w:t>
      </w:r>
      <w:r>
        <w:rPr>
          <w:rFonts w:hint="eastAsia" w:ascii="仿宋" w:hAnsi="仿宋" w:eastAsia="仿宋"/>
          <w:szCs w:val="32"/>
        </w:rPr>
        <w:t>关键技术创新</w:t>
      </w:r>
      <w:r>
        <w:rPr>
          <w:rFonts w:ascii="仿宋" w:hAnsi="仿宋" w:eastAsia="仿宋"/>
          <w:szCs w:val="32"/>
        </w:rPr>
        <w:t>、产品</w:t>
      </w:r>
      <w:r>
        <w:rPr>
          <w:rFonts w:hint="eastAsia" w:ascii="仿宋" w:hAnsi="仿宋" w:eastAsia="仿宋"/>
          <w:szCs w:val="32"/>
        </w:rPr>
        <w:t>与</w:t>
      </w:r>
      <w:r>
        <w:rPr>
          <w:rFonts w:ascii="仿宋" w:hAnsi="仿宋" w:eastAsia="仿宋"/>
          <w:szCs w:val="32"/>
        </w:rPr>
        <w:t>服务创新</w:t>
      </w:r>
      <w:r>
        <w:rPr>
          <w:rFonts w:hint="eastAsia" w:ascii="仿宋" w:hAnsi="仿宋" w:eastAsia="仿宋"/>
          <w:szCs w:val="32"/>
        </w:rPr>
        <w:t>、模式</w:t>
      </w:r>
      <w:r>
        <w:rPr>
          <w:rFonts w:ascii="仿宋" w:hAnsi="仿宋" w:eastAsia="仿宋"/>
          <w:szCs w:val="32"/>
        </w:rPr>
        <w:t>创新等方面</w:t>
      </w:r>
      <w:r>
        <w:rPr>
          <w:rFonts w:hint="eastAsia" w:ascii="仿宋" w:hAnsi="仿宋" w:eastAsia="仿宋"/>
          <w:szCs w:val="32"/>
        </w:rPr>
        <w:t>。</w:t>
      </w:r>
    </w:p>
    <w:p>
      <w:pPr>
        <w:widowControl/>
        <w:numPr>
          <w:ilvl w:val="0"/>
          <w:numId w:val="7"/>
        </w:numPr>
        <w:spacing w:line="560" w:lineRule="exact"/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 w:cs="仿宋"/>
        </w:rPr>
        <w:t>竞争优势：同类型解决方案有哪些，与同类型解决方案相比的差异性和竞争力。</w:t>
      </w:r>
    </w:p>
    <w:p>
      <w:pPr>
        <w:widowControl/>
        <w:spacing w:line="560" w:lineRule="exact"/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（3）推广优势</w:t>
      </w:r>
      <w:r>
        <w:rPr>
          <w:rFonts w:ascii="仿宋" w:hAnsi="仿宋" w:eastAsia="仿宋"/>
          <w:szCs w:val="32"/>
        </w:rPr>
        <w:t>：</w:t>
      </w:r>
      <w:r>
        <w:rPr>
          <w:rFonts w:hint="eastAsia" w:ascii="仿宋" w:hAnsi="仿宋" w:eastAsia="仿宋"/>
          <w:szCs w:val="32"/>
        </w:rPr>
        <w:t>介绍解决方案</w:t>
      </w:r>
      <w:r>
        <w:rPr>
          <w:rFonts w:ascii="仿宋" w:hAnsi="仿宋" w:eastAsia="仿宋"/>
          <w:szCs w:val="32"/>
        </w:rPr>
        <w:t>的</w:t>
      </w:r>
      <w:r>
        <w:rPr>
          <w:rFonts w:hint="eastAsia" w:ascii="仿宋" w:hAnsi="仿宋" w:eastAsia="仿宋"/>
          <w:szCs w:val="32"/>
        </w:rPr>
        <w:t>通用性、易部署性，包括</w:t>
      </w:r>
      <w:r>
        <w:rPr>
          <w:rFonts w:ascii="仿宋" w:hAnsi="仿宋" w:eastAsia="仿宋"/>
          <w:szCs w:val="32"/>
        </w:rPr>
        <w:t>但不限于</w:t>
      </w:r>
      <w:r>
        <w:rPr>
          <w:rFonts w:hint="eastAsia" w:ascii="仿宋" w:hAnsi="仿宋" w:eastAsia="仿宋"/>
          <w:szCs w:val="32"/>
        </w:rPr>
        <w:t>实施</w:t>
      </w:r>
      <w:r>
        <w:rPr>
          <w:rFonts w:ascii="仿宋" w:hAnsi="仿宋" w:eastAsia="仿宋"/>
          <w:szCs w:val="32"/>
        </w:rPr>
        <w:t>成本</w:t>
      </w:r>
      <w:r>
        <w:rPr>
          <w:rFonts w:hint="eastAsia" w:ascii="仿宋" w:hAnsi="仿宋" w:eastAsia="仿宋"/>
          <w:szCs w:val="32"/>
        </w:rPr>
        <w:t>与周期</w:t>
      </w:r>
      <w:r>
        <w:rPr>
          <w:rFonts w:ascii="仿宋" w:hAnsi="仿宋" w:eastAsia="仿宋"/>
          <w:szCs w:val="32"/>
        </w:rPr>
        <w:t>、</w:t>
      </w:r>
      <w:r>
        <w:rPr>
          <w:rFonts w:hint="eastAsia" w:ascii="仿宋" w:hAnsi="仿宋" w:eastAsia="仿宋"/>
          <w:szCs w:val="32"/>
        </w:rPr>
        <w:t>兼容性</w:t>
      </w:r>
      <w:r>
        <w:rPr>
          <w:rFonts w:ascii="仿宋" w:hAnsi="仿宋" w:eastAsia="仿宋"/>
          <w:szCs w:val="32"/>
        </w:rPr>
        <w:t>、开放</w:t>
      </w:r>
      <w:r>
        <w:rPr>
          <w:rFonts w:hint="eastAsia" w:ascii="仿宋" w:hAnsi="仿宋" w:eastAsia="仿宋"/>
          <w:szCs w:val="32"/>
        </w:rPr>
        <w:t>性</w:t>
      </w:r>
      <w:r>
        <w:rPr>
          <w:rFonts w:ascii="仿宋" w:hAnsi="仿宋" w:eastAsia="仿宋"/>
          <w:szCs w:val="32"/>
        </w:rPr>
        <w:t>等</w:t>
      </w:r>
      <w:r>
        <w:rPr>
          <w:rFonts w:hint="eastAsia" w:ascii="仿宋" w:hAnsi="仿宋" w:eastAsia="仿宋"/>
          <w:szCs w:val="32"/>
        </w:rPr>
        <w:t>方面。</w:t>
      </w:r>
    </w:p>
    <w:p>
      <w:pPr>
        <w:widowControl/>
        <w:spacing w:line="560" w:lineRule="exact"/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（4）其他</w:t>
      </w:r>
      <w:r>
        <w:rPr>
          <w:rFonts w:ascii="仿宋" w:hAnsi="仿宋" w:eastAsia="仿宋"/>
          <w:szCs w:val="32"/>
        </w:rPr>
        <w:t>优势请</w:t>
      </w:r>
      <w:r>
        <w:rPr>
          <w:rFonts w:hint="eastAsia" w:ascii="仿宋" w:hAnsi="仿宋" w:eastAsia="仿宋"/>
          <w:szCs w:val="32"/>
        </w:rPr>
        <w:t>说明。</w:t>
      </w:r>
    </w:p>
    <w:p>
      <w:pPr>
        <w:widowControl/>
        <w:spacing w:line="560" w:lineRule="exact"/>
        <w:ind w:firstLine="632" w:firstLineChars="200"/>
        <w:jc w:val="left"/>
        <w:rPr>
          <w:rFonts w:ascii="仿宋" w:hAnsi="仿宋" w:eastAsia="仿宋"/>
          <w:szCs w:val="32"/>
        </w:rPr>
      </w:pPr>
    </w:p>
    <w:p>
      <w:pPr>
        <w:adjustRightInd w:val="0"/>
        <w:snapToGrid w:val="0"/>
        <w:spacing w:line="560" w:lineRule="exact"/>
        <w:outlineLvl w:val="1"/>
        <w:rPr>
          <w:rFonts w:ascii="Times New Roman" w:hAnsi="Times New Roman" w:eastAsia="黑体"/>
          <w:szCs w:val="32"/>
        </w:rPr>
      </w:pPr>
    </w:p>
    <w:p>
      <w:pPr>
        <w:numPr>
          <w:ilvl w:val="0"/>
          <w:numId w:val="8"/>
        </w:numPr>
        <w:adjustRightInd w:val="0"/>
        <w:snapToGrid w:val="0"/>
        <w:spacing w:line="560" w:lineRule="exact"/>
        <w:ind w:firstLine="632" w:firstLineChars="200"/>
        <w:outlineLvl w:val="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应用案例及推广</w:t>
      </w:r>
    </w:p>
    <w:p>
      <w:pPr>
        <w:widowControl/>
        <w:numPr>
          <w:ilvl w:val="0"/>
          <w:numId w:val="9"/>
        </w:numPr>
        <w:spacing w:line="560" w:lineRule="exact"/>
        <w:ind w:firstLine="632" w:firstLineChars="200"/>
        <w:jc w:val="left"/>
        <w:outlineLvl w:val="1"/>
        <w:rPr>
          <w:rFonts w:ascii="楷体" w:hAnsi="楷体" w:eastAsia="楷体" w:cs="楷体"/>
          <w:szCs w:val="32"/>
          <w:lang w:val="zh-CN"/>
        </w:rPr>
      </w:pPr>
      <w:bookmarkStart w:id="4" w:name="_Toc54791673"/>
      <w:r>
        <w:rPr>
          <w:rFonts w:hint="eastAsia" w:ascii="楷体" w:hAnsi="楷体" w:eastAsia="楷体" w:cs="楷体"/>
          <w:szCs w:val="32"/>
          <w:lang w:val="zh-CN"/>
        </w:rPr>
        <w:t>整体情况</w:t>
      </w:r>
      <w:bookmarkEnd w:id="4"/>
    </w:p>
    <w:p>
      <w:pPr>
        <w:widowControl/>
        <w:spacing w:line="560" w:lineRule="exact"/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整体描述解决方案已服务于多少企业，哪些企业，多少行业，哪些行业，解决了哪些行业共性问题或企业关键痛点问题，带来了哪些可量化的成本、收入、质量、节能等方面的经济效益，以及带来哪些国际化发展、补短板、生态环境等方面的社会效益。</w:t>
      </w:r>
    </w:p>
    <w:p>
      <w:pPr>
        <w:widowControl/>
        <w:numPr>
          <w:ilvl w:val="0"/>
          <w:numId w:val="10"/>
        </w:numPr>
        <w:spacing w:line="560" w:lineRule="exact"/>
        <w:ind w:firstLine="632" w:firstLineChars="200"/>
        <w:jc w:val="left"/>
        <w:outlineLvl w:val="1"/>
        <w:rPr>
          <w:rFonts w:ascii="楷体" w:hAnsi="楷体" w:eastAsia="楷体" w:cs="楷体"/>
          <w:szCs w:val="32"/>
          <w:lang w:val="zh-CN"/>
        </w:rPr>
      </w:pPr>
      <w:bookmarkStart w:id="5" w:name="_Toc42867976"/>
      <w:bookmarkStart w:id="6" w:name="_Toc54791674"/>
      <w:bookmarkStart w:id="7" w:name="_Toc42871703"/>
      <w:r>
        <w:rPr>
          <w:rFonts w:hint="eastAsia" w:ascii="楷体" w:hAnsi="楷体" w:eastAsia="楷体" w:cs="楷体"/>
          <w:szCs w:val="32"/>
          <w:lang w:val="zh-CN"/>
        </w:rPr>
        <w:t>应用案例及其成效</w:t>
      </w:r>
      <w:bookmarkEnd w:id="5"/>
      <w:bookmarkEnd w:id="6"/>
      <w:bookmarkEnd w:id="7"/>
    </w:p>
    <w:p>
      <w:pPr>
        <w:widowControl/>
        <w:spacing w:line="560" w:lineRule="exact"/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阐述企业应用解决方案的切入点及应用场景、部署环节及步骤、功能实现情况、业务优化路径以及在企业的应用中实现了哪些具体成效。</w:t>
      </w:r>
    </w:p>
    <w:p>
      <w:pPr>
        <w:numPr>
          <w:ilvl w:val="0"/>
          <w:numId w:val="11"/>
        </w:numPr>
        <w:adjustRightInd w:val="0"/>
        <w:snapToGrid w:val="0"/>
        <w:spacing w:line="560" w:lineRule="exact"/>
        <w:ind w:firstLine="632" w:firstLineChars="200"/>
        <w:outlineLvl w:val="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商业模式</w:t>
      </w:r>
    </w:p>
    <w:p>
      <w:pPr>
        <w:widowControl/>
        <w:numPr>
          <w:ilvl w:val="0"/>
          <w:numId w:val="12"/>
        </w:numPr>
        <w:spacing w:line="560" w:lineRule="exact"/>
        <w:ind w:firstLine="632" w:firstLineChars="200"/>
        <w:jc w:val="left"/>
        <w:outlineLvl w:val="1"/>
        <w:rPr>
          <w:rFonts w:ascii="楷体" w:hAnsi="楷体" w:eastAsia="楷体" w:cs="楷体"/>
          <w:szCs w:val="32"/>
          <w:lang w:val="zh-CN"/>
        </w:rPr>
      </w:pPr>
      <w:bookmarkStart w:id="8" w:name="_Toc42867979"/>
      <w:bookmarkStart w:id="9" w:name="_Toc42871706"/>
      <w:bookmarkStart w:id="10" w:name="_Toc54791678"/>
      <w:r>
        <w:rPr>
          <w:rFonts w:hint="eastAsia" w:ascii="楷体" w:hAnsi="楷体" w:eastAsia="楷体" w:cs="楷体"/>
          <w:szCs w:val="32"/>
          <w:lang w:val="zh-CN"/>
        </w:rPr>
        <w:t>市场</w:t>
      </w:r>
      <w:bookmarkEnd w:id="8"/>
      <w:bookmarkEnd w:id="9"/>
      <w:r>
        <w:rPr>
          <w:rFonts w:hint="eastAsia" w:ascii="楷体" w:hAnsi="楷体" w:eastAsia="楷体" w:cs="楷体"/>
          <w:szCs w:val="32"/>
          <w:lang w:val="zh-CN"/>
        </w:rPr>
        <w:t>需求</w:t>
      </w:r>
      <w:bookmarkEnd w:id="10"/>
    </w:p>
    <w:p>
      <w:pPr>
        <w:widowControl/>
        <w:spacing w:line="560" w:lineRule="exact"/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结合解决方案核心能力与应用实际，介绍解决方案的用户规模、覆盖行业领域、市场份额等情况，分析发展前景，开展成长性分析。</w:t>
      </w:r>
    </w:p>
    <w:p>
      <w:pPr>
        <w:widowControl/>
        <w:numPr>
          <w:ilvl w:val="0"/>
          <w:numId w:val="13"/>
        </w:numPr>
        <w:spacing w:line="560" w:lineRule="exact"/>
        <w:ind w:firstLine="632" w:firstLineChars="200"/>
        <w:jc w:val="left"/>
        <w:outlineLvl w:val="1"/>
        <w:rPr>
          <w:rFonts w:ascii="楷体" w:hAnsi="楷体" w:eastAsia="楷体" w:cs="楷体"/>
          <w:szCs w:val="32"/>
          <w:lang w:val="zh-CN"/>
        </w:rPr>
      </w:pPr>
      <w:bookmarkStart w:id="11" w:name="_Toc42867980"/>
      <w:bookmarkStart w:id="12" w:name="_Toc42871707"/>
      <w:bookmarkStart w:id="13" w:name="_Toc54791679"/>
      <w:r>
        <w:rPr>
          <w:rFonts w:hint="eastAsia" w:ascii="楷体" w:hAnsi="楷体" w:eastAsia="楷体" w:cs="楷体"/>
          <w:szCs w:val="32"/>
          <w:lang w:val="zh-CN"/>
        </w:rPr>
        <w:t>推广策略</w:t>
      </w:r>
      <w:bookmarkEnd w:id="11"/>
      <w:bookmarkEnd w:id="12"/>
      <w:bookmarkEnd w:id="13"/>
    </w:p>
    <w:p>
      <w:pPr>
        <w:widowControl/>
        <w:spacing w:line="560" w:lineRule="exact"/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说明解决方案的市场开发策略，与工业企业的合作方式，以及区域/行业推广模式等内容。</w:t>
      </w:r>
    </w:p>
    <w:p>
      <w:pPr>
        <w:widowControl/>
        <w:numPr>
          <w:ilvl w:val="0"/>
          <w:numId w:val="14"/>
        </w:numPr>
        <w:spacing w:line="560" w:lineRule="exact"/>
        <w:ind w:firstLine="632" w:firstLineChars="200"/>
        <w:jc w:val="left"/>
        <w:outlineLvl w:val="1"/>
        <w:rPr>
          <w:rFonts w:ascii="楷体" w:hAnsi="楷体" w:eastAsia="楷体" w:cs="楷体"/>
          <w:szCs w:val="32"/>
          <w:lang w:val="zh-CN"/>
        </w:rPr>
      </w:pPr>
      <w:bookmarkStart w:id="14" w:name="_Toc54791680"/>
      <w:bookmarkStart w:id="15" w:name="_Toc42867981"/>
      <w:bookmarkStart w:id="16" w:name="_Toc42871708"/>
      <w:r>
        <w:rPr>
          <w:rFonts w:hint="eastAsia" w:ascii="楷体" w:hAnsi="楷体" w:eastAsia="楷体" w:cs="楷体"/>
          <w:szCs w:val="32"/>
          <w:lang w:val="zh-CN"/>
        </w:rPr>
        <w:t>盈利能力</w:t>
      </w:r>
      <w:bookmarkEnd w:id="14"/>
      <w:bookmarkEnd w:id="15"/>
      <w:bookmarkEnd w:id="16"/>
    </w:p>
    <w:p>
      <w:pPr>
        <w:widowControl/>
        <w:spacing w:line="560" w:lineRule="exact"/>
        <w:ind w:firstLine="632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介绍解决方案商业运作模式、投资回报周期、潜在价值空间等经济性内容。</w:t>
      </w:r>
    </w:p>
    <w:p>
      <w:pPr>
        <w:numPr>
          <w:ilvl w:val="0"/>
          <w:numId w:val="15"/>
        </w:numPr>
        <w:adjustRightInd w:val="0"/>
        <w:snapToGrid w:val="0"/>
        <w:spacing w:line="560" w:lineRule="exact"/>
        <w:ind w:firstLine="640"/>
        <w:outlineLvl w:val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团队介绍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632" w:left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核心成员履历、团队核心资质和优势等。</w:t>
      </w:r>
    </w:p>
    <w:p>
      <w:pPr>
        <w:numPr>
          <w:ilvl w:val="0"/>
          <w:numId w:val="16"/>
        </w:numPr>
        <w:adjustRightInd w:val="0"/>
        <w:snapToGrid w:val="0"/>
        <w:spacing w:line="560" w:lineRule="exact"/>
        <w:ind w:firstLine="632" w:firstLineChars="200"/>
        <w:outlineLvl w:val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其他材料</w:t>
      </w:r>
    </w:p>
    <w:p>
      <w:pPr>
        <w:widowControl/>
        <w:spacing w:line="560" w:lineRule="exact"/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技术证明材料（专利、软著等）、企业相关资质证明、其他相关说明或证明材料。</w:t>
      </w:r>
    </w:p>
    <w:p>
      <w:pPr>
        <w:numPr>
          <w:ilvl w:val="0"/>
          <w:numId w:val="17"/>
        </w:numPr>
        <w:adjustRightInd w:val="0"/>
        <w:snapToGrid w:val="0"/>
        <w:spacing w:line="560" w:lineRule="exact"/>
        <w:ind w:firstLine="632" w:firstLineChars="200"/>
        <w:outlineLvl w:val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真实性承诺</w:t>
      </w:r>
    </w:p>
    <w:p>
      <w:pPr>
        <w:widowControl/>
        <w:spacing w:line="560" w:lineRule="exact"/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填写参赛单位真实性承诺。</w:t>
      </w:r>
    </w:p>
    <w:sectPr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8896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A9D7B7"/>
    <w:multiLevelType w:val="singleLevel"/>
    <w:tmpl w:val="91A9D7B7"/>
    <w:lvl w:ilvl="0" w:tentative="0">
      <w:start w:val="2"/>
      <w:numFmt w:val="chineseCountingThousand"/>
      <w:suff w:val="nothing"/>
      <w:lvlText w:val="（%1）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1">
    <w:nsid w:val="93F0C330"/>
    <w:multiLevelType w:val="singleLevel"/>
    <w:tmpl w:val="93F0C330"/>
    <w:lvl w:ilvl="0" w:tentative="0">
      <w:start w:val="7"/>
      <w:numFmt w:val="chineseCountingThousand"/>
      <w:suff w:val="nothing"/>
      <w:lvlText w:val="%1、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2">
    <w:nsid w:val="96DF5F27"/>
    <w:multiLevelType w:val="singleLevel"/>
    <w:tmpl w:val="96DF5F27"/>
    <w:lvl w:ilvl="0" w:tentative="0">
      <w:start w:val="1"/>
      <w:numFmt w:val="chineseCountingThousand"/>
      <w:suff w:val="nothing"/>
      <w:lvlText w:val="（%1）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3">
    <w:nsid w:val="AAE10586"/>
    <w:multiLevelType w:val="singleLevel"/>
    <w:tmpl w:val="AAE10586"/>
    <w:lvl w:ilvl="0" w:tentative="0">
      <w:start w:val="1"/>
      <w:numFmt w:val="chineseCountingThousand"/>
      <w:suff w:val="nothing"/>
      <w:lvlText w:val="（%1）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4">
    <w:nsid w:val="CA32637B"/>
    <w:multiLevelType w:val="singleLevel"/>
    <w:tmpl w:val="CA32637B"/>
    <w:lvl w:ilvl="0" w:tentative="0">
      <w:start w:val="2"/>
      <w:numFmt w:val="chineseCountingThousand"/>
      <w:suff w:val="nothing"/>
      <w:lvlText w:val="%1、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5">
    <w:nsid w:val="D5072D68"/>
    <w:multiLevelType w:val="singleLevel"/>
    <w:tmpl w:val="D5072D68"/>
    <w:lvl w:ilvl="0" w:tentative="0">
      <w:start w:val="3"/>
      <w:numFmt w:val="chineseCountingThousand"/>
      <w:suff w:val="nothing"/>
      <w:lvlText w:val="%1、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6">
    <w:nsid w:val="E744636D"/>
    <w:multiLevelType w:val="singleLevel"/>
    <w:tmpl w:val="E744636D"/>
    <w:lvl w:ilvl="0" w:tentative="0">
      <w:start w:val="4"/>
      <w:numFmt w:val="chineseCountingThousand"/>
      <w:suff w:val="nothing"/>
      <w:lvlText w:val="%1、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7">
    <w:nsid w:val="F6AB1205"/>
    <w:multiLevelType w:val="singleLevel"/>
    <w:tmpl w:val="F6AB1205"/>
    <w:lvl w:ilvl="0" w:tentative="0">
      <w:start w:val="6"/>
      <w:numFmt w:val="chineseCountingThousand"/>
      <w:suff w:val="nothing"/>
      <w:lvlText w:val="%1、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8">
    <w:nsid w:val="F7E5874A"/>
    <w:multiLevelType w:val="singleLevel"/>
    <w:tmpl w:val="F7E5874A"/>
    <w:lvl w:ilvl="0" w:tentative="0">
      <w:start w:val="1"/>
      <w:numFmt w:val="chineseCountingThousand"/>
      <w:suff w:val="nothing"/>
      <w:lvlText w:val="%1、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9">
    <w:nsid w:val="0F4E7A89"/>
    <w:multiLevelType w:val="singleLevel"/>
    <w:tmpl w:val="0F4E7A89"/>
    <w:lvl w:ilvl="0" w:tentative="0">
      <w:start w:val="1"/>
      <w:numFmt w:val="decimal"/>
      <w:suff w:val="nothing"/>
      <w:lvlText w:val="（%1）"/>
      <w:lvlJc w:val="left"/>
    </w:lvl>
  </w:abstractNum>
  <w:abstractNum w:abstractNumId="10">
    <w:nsid w:val="12AE4C15"/>
    <w:multiLevelType w:val="singleLevel"/>
    <w:tmpl w:val="12AE4C15"/>
    <w:lvl w:ilvl="0" w:tentative="0">
      <w:start w:val="2"/>
      <w:numFmt w:val="chineseCountingThousand"/>
      <w:suff w:val="nothing"/>
      <w:lvlText w:val="（%1）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11">
    <w:nsid w:val="1E191A64"/>
    <w:multiLevelType w:val="singleLevel"/>
    <w:tmpl w:val="1E191A64"/>
    <w:lvl w:ilvl="0" w:tentative="0">
      <w:start w:val="2"/>
      <w:numFmt w:val="chineseCountingThousand"/>
      <w:suff w:val="nothing"/>
      <w:lvlText w:val="（%1）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12">
    <w:nsid w:val="1F50625A"/>
    <w:multiLevelType w:val="singleLevel"/>
    <w:tmpl w:val="1F50625A"/>
    <w:lvl w:ilvl="0" w:tentative="0">
      <w:start w:val="5"/>
      <w:numFmt w:val="chineseCountingThousand"/>
      <w:suff w:val="nothing"/>
      <w:lvlText w:val="%1、"/>
      <w:lvlJc w:val="left"/>
      <w:pPr>
        <w:tabs>
          <w:tab w:val="left" w:pos="420"/>
        </w:tabs>
        <w:ind w:left="-10" w:firstLine="0"/>
      </w:pPr>
      <w:rPr>
        <w:rFonts w:hint="eastAsia"/>
      </w:rPr>
    </w:lvl>
  </w:abstractNum>
  <w:abstractNum w:abstractNumId="13">
    <w:nsid w:val="3C8A2F86"/>
    <w:multiLevelType w:val="singleLevel"/>
    <w:tmpl w:val="3C8A2F86"/>
    <w:lvl w:ilvl="0" w:tentative="0">
      <w:start w:val="3"/>
      <w:numFmt w:val="chineseCountingThousand"/>
      <w:suff w:val="nothing"/>
      <w:lvlText w:val="（%1）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14">
    <w:nsid w:val="5B71A644"/>
    <w:multiLevelType w:val="singleLevel"/>
    <w:tmpl w:val="5B71A644"/>
    <w:lvl w:ilvl="0" w:tentative="0">
      <w:start w:val="2"/>
      <w:numFmt w:val="chineseCountingThousand"/>
      <w:suff w:val="nothing"/>
      <w:lvlText w:val="（%1）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15">
    <w:nsid w:val="5F5888AD"/>
    <w:multiLevelType w:val="singleLevel"/>
    <w:tmpl w:val="5F5888AD"/>
    <w:lvl w:ilvl="0" w:tentative="0">
      <w:start w:val="1"/>
      <w:numFmt w:val="chineseCountingThousand"/>
      <w:suff w:val="nothing"/>
      <w:lvlText w:val="（%1）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16">
    <w:nsid w:val="662AC555"/>
    <w:multiLevelType w:val="singleLevel"/>
    <w:tmpl w:val="662AC555"/>
    <w:lvl w:ilvl="0" w:tentative="0">
      <w:start w:val="1"/>
      <w:numFmt w:val="chineseCountingThousand"/>
      <w:suff w:val="nothing"/>
      <w:lvlText w:val="（%1）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4"/>
  </w:num>
  <w:num w:numId="5">
    <w:abstractNumId w:val="15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14"/>
  </w:num>
  <w:num w:numId="14">
    <w:abstractNumId w:val="13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CE"/>
    <w:rsid w:val="00015B80"/>
    <w:rsid w:val="000164A0"/>
    <w:rsid w:val="00023FA6"/>
    <w:rsid w:val="00024BFC"/>
    <w:rsid w:val="00030CA3"/>
    <w:rsid w:val="00052001"/>
    <w:rsid w:val="000523BF"/>
    <w:rsid w:val="00062AFF"/>
    <w:rsid w:val="00074976"/>
    <w:rsid w:val="000936FA"/>
    <w:rsid w:val="000A4F0C"/>
    <w:rsid w:val="000A6F95"/>
    <w:rsid w:val="000B2439"/>
    <w:rsid w:val="000B40D6"/>
    <w:rsid w:val="000D1F37"/>
    <w:rsid w:val="000F74BF"/>
    <w:rsid w:val="00100E89"/>
    <w:rsid w:val="00120042"/>
    <w:rsid w:val="00141C8D"/>
    <w:rsid w:val="001679CF"/>
    <w:rsid w:val="00172D9E"/>
    <w:rsid w:val="00174D60"/>
    <w:rsid w:val="001778B6"/>
    <w:rsid w:val="00180B57"/>
    <w:rsid w:val="0018102D"/>
    <w:rsid w:val="0019342B"/>
    <w:rsid w:val="0019494B"/>
    <w:rsid w:val="00197EF7"/>
    <w:rsid w:val="001A31A0"/>
    <w:rsid w:val="001B5D59"/>
    <w:rsid w:val="001C42A9"/>
    <w:rsid w:val="001C7028"/>
    <w:rsid w:val="001D27E0"/>
    <w:rsid w:val="001E3E9D"/>
    <w:rsid w:val="001F003A"/>
    <w:rsid w:val="001F528C"/>
    <w:rsid w:val="002047BA"/>
    <w:rsid w:val="00205777"/>
    <w:rsid w:val="002108ED"/>
    <w:rsid w:val="00214A19"/>
    <w:rsid w:val="002371CD"/>
    <w:rsid w:val="00253625"/>
    <w:rsid w:val="00255503"/>
    <w:rsid w:val="00263B0E"/>
    <w:rsid w:val="00277100"/>
    <w:rsid w:val="00296D1B"/>
    <w:rsid w:val="002A5D76"/>
    <w:rsid w:val="002D21E8"/>
    <w:rsid w:val="002D5164"/>
    <w:rsid w:val="002E1F0B"/>
    <w:rsid w:val="002F36D8"/>
    <w:rsid w:val="002F7EE8"/>
    <w:rsid w:val="003233A1"/>
    <w:rsid w:val="0033648F"/>
    <w:rsid w:val="00342F7B"/>
    <w:rsid w:val="003562A9"/>
    <w:rsid w:val="003668A5"/>
    <w:rsid w:val="00391B03"/>
    <w:rsid w:val="00392465"/>
    <w:rsid w:val="003A69DE"/>
    <w:rsid w:val="003B552D"/>
    <w:rsid w:val="003B69ED"/>
    <w:rsid w:val="003C6DF2"/>
    <w:rsid w:val="003D09C8"/>
    <w:rsid w:val="003F5ECB"/>
    <w:rsid w:val="003F667C"/>
    <w:rsid w:val="004222E8"/>
    <w:rsid w:val="00434FCA"/>
    <w:rsid w:val="004351F1"/>
    <w:rsid w:val="00457613"/>
    <w:rsid w:val="004938CE"/>
    <w:rsid w:val="004C35F0"/>
    <w:rsid w:val="004C7AE6"/>
    <w:rsid w:val="004D0110"/>
    <w:rsid w:val="004F30EC"/>
    <w:rsid w:val="00502967"/>
    <w:rsid w:val="00504EF3"/>
    <w:rsid w:val="00533D54"/>
    <w:rsid w:val="0054471D"/>
    <w:rsid w:val="00561B0C"/>
    <w:rsid w:val="00574542"/>
    <w:rsid w:val="00582C73"/>
    <w:rsid w:val="00584347"/>
    <w:rsid w:val="00594C9C"/>
    <w:rsid w:val="005A3845"/>
    <w:rsid w:val="005C57A6"/>
    <w:rsid w:val="005C7E47"/>
    <w:rsid w:val="005E3E91"/>
    <w:rsid w:val="006025B6"/>
    <w:rsid w:val="00606BA8"/>
    <w:rsid w:val="0067544F"/>
    <w:rsid w:val="006833A9"/>
    <w:rsid w:val="006A30FF"/>
    <w:rsid w:val="006A44AA"/>
    <w:rsid w:val="006B5141"/>
    <w:rsid w:val="006B6568"/>
    <w:rsid w:val="006C167E"/>
    <w:rsid w:val="006E1EA5"/>
    <w:rsid w:val="006F420F"/>
    <w:rsid w:val="006F65DF"/>
    <w:rsid w:val="0071453C"/>
    <w:rsid w:val="0072771E"/>
    <w:rsid w:val="00730CA0"/>
    <w:rsid w:val="00730E8E"/>
    <w:rsid w:val="0077762E"/>
    <w:rsid w:val="007A0A13"/>
    <w:rsid w:val="007B478F"/>
    <w:rsid w:val="007C6205"/>
    <w:rsid w:val="00811743"/>
    <w:rsid w:val="008C13FD"/>
    <w:rsid w:val="008D484C"/>
    <w:rsid w:val="008E68F7"/>
    <w:rsid w:val="008F1EEC"/>
    <w:rsid w:val="008F6E04"/>
    <w:rsid w:val="00911465"/>
    <w:rsid w:val="009214AC"/>
    <w:rsid w:val="00925475"/>
    <w:rsid w:val="0094393B"/>
    <w:rsid w:val="00943977"/>
    <w:rsid w:val="00951139"/>
    <w:rsid w:val="00971E58"/>
    <w:rsid w:val="00972AFA"/>
    <w:rsid w:val="00990FA6"/>
    <w:rsid w:val="009B05F4"/>
    <w:rsid w:val="009B3BC3"/>
    <w:rsid w:val="009D3D4E"/>
    <w:rsid w:val="00A0561A"/>
    <w:rsid w:val="00A20D8D"/>
    <w:rsid w:val="00A81068"/>
    <w:rsid w:val="00A84420"/>
    <w:rsid w:val="00A858F7"/>
    <w:rsid w:val="00AA1C67"/>
    <w:rsid w:val="00AA4C5B"/>
    <w:rsid w:val="00AD5258"/>
    <w:rsid w:val="00AD5C51"/>
    <w:rsid w:val="00B10D13"/>
    <w:rsid w:val="00B1141A"/>
    <w:rsid w:val="00B2523E"/>
    <w:rsid w:val="00B26505"/>
    <w:rsid w:val="00B44954"/>
    <w:rsid w:val="00B931BA"/>
    <w:rsid w:val="00BA2982"/>
    <w:rsid w:val="00BC01CF"/>
    <w:rsid w:val="00BD05FA"/>
    <w:rsid w:val="00BD7BAE"/>
    <w:rsid w:val="00BE0BEF"/>
    <w:rsid w:val="00BE7935"/>
    <w:rsid w:val="00C20568"/>
    <w:rsid w:val="00C278CA"/>
    <w:rsid w:val="00C442D0"/>
    <w:rsid w:val="00C7486B"/>
    <w:rsid w:val="00C849A9"/>
    <w:rsid w:val="00C90F9A"/>
    <w:rsid w:val="00C97039"/>
    <w:rsid w:val="00C976FF"/>
    <w:rsid w:val="00CA47D2"/>
    <w:rsid w:val="00CB77BF"/>
    <w:rsid w:val="00CC51BF"/>
    <w:rsid w:val="00CC66C6"/>
    <w:rsid w:val="00CD58BB"/>
    <w:rsid w:val="00CE192B"/>
    <w:rsid w:val="00CE7CAC"/>
    <w:rsid w:val="00CF1176"/>
    <w:rsid w:val="00D03FA3"/>
    <w:rsid w:val="00D201B5"/>
    <w:rsid w:val="00D50A89"/>
    <w:rsid w:val="00D7595A"/>
    <w:rsid w:val="00D776B7"/>
    <w:rsid w:val="00DA3F53"/>
    <w:rsid w:val="00DB1BEF"/>
    <w:rsid w:val="00DB63D4"/>
    <w:rsid w:val="00DC6D9A"/>
    <w:rsid w:val="00DD2CA9"/>
    <w:rsid w:val="00DD30E9"/>
    <w:rsid w:val="00DD3500"/>
    <w:rsid w:val="00DE2B92"/>
    <w:rsid w:val="00DF563C"/>
    <w:rsid w:val="00E2017B"/>
    <w:rsid w:val="00E723FA"/>
    <w:rsid w:val="00E73182"/>
    <w:rsid w:val="00E94B18"/>
    <w:rsid w:val="00E95068"/>
    <w:rsid w:val="00E9783B"/>
    <w:rsid w:val="00EA5E58"/>
    <w:rsid w:val="00EB0C81"/>
    <w:rsid w:val="00EB3F77"/>
    <w:rsid w:val="00EC4D84"/>
    <w:rsid w:val="00ED6374"/>
    <w:rsid w:val="00ED6A6B"/>
    <w:rsid w:val="00EE0500"/>
    <w:rsid w:val="00F044D8"/>
    <w:rsid w:val="00F16251"/>
    <w:rsid w:val="00F17A67"/>
    <w:rsid w:val="00F36470"/>
    <w:rsid w:val="00F66DA3"/>
    <w:rsid w:val="00FD611D"/>
    <w:rsid w:val="00FE1B4F"/>
    <w:rsid w:val="00FF369A"/>
    <w:rsid w:val="01634AC7"/>
    <w:rsid w:val="042E7731"/>
    <w:rsid w:val="0A7D0E06"/>
    <w:rsid w:val="0B617C2F"/>
    <w:rsid w:val="0BAA36F4"/>
    <w:rsid w:val="18FE264A"/>
    <w:rsid w:val="31BE7E4E"/>
    <w:rsid w:val="3335142E"/>
    <w:rsid w:val="3B33268E"/>
    <w:rsid w:val="3F2071E9"/>
    <w:rsid w:val="4E534002"/>
    <w:rsid w:val="510E1421"/>
    <w:rsid w:val="53ED1187"/>
    <w:rsid w:val="5C5B0019"/>
    <w:rsid w:val="7B6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等线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1"/>
    <w:pPr>
      <w:spacing w:before="195" w:line="360" w:lineRule="auto"/>
      <w:jc w:val="left"/>
    </w:pPr>
    <w:rPr>
      <w:rFonts w:ascii="Times New Roman" w:hAnsi="Times New Roman" w:eastAsia="宋体"/>
      <w:kern w:val="0"/>
      <w:sz w:val="28"/>
      <w:szCs w:val="30"/>
    </w:rPr>
  </w:style>
  <w:style w:type="paragraph" w:styleId="3">
    <w:name w:val="annotation text"/>
    <w:basedOn w:val="1"/>
    <w:link w:val="15"/>
    <w:qFormat/>
    <w:uiPriority w:val="0"/>
    <w:pPr>
      <w:jc w:val="left"/>
    </w:pPr>
    <w:rPr>
      <w:szCs w:val="24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7"/>
    <w:semiHidden/>
    <w:unhideWhenUsed/>
    <w:qFormat/>
    <w:uiPriority w:val="99"/>
    <w:rPr>
      <w:b/>
      <w:bCs/>
      <w:szCs w:val="22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5"/>
    <w:qFormat/>
    <w:uiPriority w:val="0"/>
    <w:rPr>
      <w:sz w:val="18"/>
      <w:szCs w:val="18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9"/>
    <w:link w:val="3"/>
    <w:qFormat/>
    <w:uiPriority w:val="0"/>
    <w:rPr>
      <w:szCs w:val="24"/>
    </w:rPr>
  </w:style>
  <w:style w:type="character" w:customStyle="1" w:styleId="16">
    <w:name w:val="正文文本 字符"/>
    <w:basedOn w:val="9"/>
    <w:link w:val="2"/>
    <w:qFormat/>
    <w:uiPriority w:val="1"/>
    <w:rPr>
      <w:rFonts w:ascii="Times New Roman" w:hAnsi="Times New Roman" w:eastAsia="宋体"/>
      <w:kern w:val="0"/>
      <w:sz w:val="28"/>
      <w:szCs w:val="30"/>
    </w:rPr>
  </w:style>
  <w:style w:type="character" w:customStyle="1" w:styleId="17">
    <w:name w:val="批注主题 字符"/>
    <w:basedOn w:val="15"/>
    <w:link w:val="6"/>
    <w:semiHidden/>
    <w:qFormat/>
    <w:uiPriority w:val="99"/>
    <w:rPr>
      <w:b/>
      <w:bCs/>
      <w:szCs w:val="24"/>
    </w:rPr>
  </w:style>
  <w:style w:type="paragraph" w:customStyle="1" w:styleId="18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8C077E-A3C8-4BA4-86A5-AFA707FE8F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266</Words>
  <Characters>1518</Characters>
  <Lines>12</Lines>
  <Paragraphs>3</Paragraphs>
  <TotalTime>5</TotalTime>
  <ScaleCrop>false</ScaleCrop>
  <LinksUpToDate>false</LinksUpToDate>
  <CharactersWithSpaces>1781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2021-08-02T07:32:00Z</dcterms:created>
  <dc:creator>王 慧娴</dc:creator>
  <cp:lastModifiedBy>陈嘉仪</cp:lastModifiedBy>
  <dcterms:modified xsi:type="dcterms:W3CDTF">2021-09-22T06:20:15Z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668010E935D74F588A83B30C6C37423F</vt:lpwstr>
  </property>
</Properties>
</file>